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2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8"/>
        <w:gridCol w:w="1170"/>
      </w:tblGrid>
      <w:tr w:rsidR="00305D11" w:rsidRPr="00E72307" w14:paraId="67DE48EA" w14:textId="77777777" w:rsidTr="0090536B">
        <w:trPr>
          <w:trHeight w:val="533"/>
        </w:trPr>
        <w:tc>
          <w:tcPr>
            <w:tcW w:w="8568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4AF7F6" w14:textId="77777777" w:rsidR="00903BAE" w:rsidRPr="00E72307" w:rsidRDefault="00C85229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</w:t>
            </w:r>
            <w:r w:rsidR="006F5326">
              <w:rPr>
                <w:rFonts w:cs="Arial"/>
                <w:b/>
                <w:sz w:val="20"/>
                <w:szCs w:val="20"/>
              </w:rPr>
              <w:t>ommunity Futures</w:t>
            </w:r>
            <w:r>
              <w:rPr>
                <w:rFonts w:cs="Arial"/>
                <w:b/>
                <w:sz w:val="20"/>
                <w:szCs w:val="20"/>
              </w:rPr>
              <w:t xml:space="preserve"> Performance </w:t>
            </w:r>
            <w:r w:rsidR="006F5326">
              <w:rPr>
                <w:rFonts w:cs="Arial"/>
                <w:b/>
                <w:sz w:val="20"/>
                <w:szCs w:val="20"/>
              </w:rPr>
              <w:t>Results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D177487" w14:textId="72DE7341" w:rsidR="00305D11" w:rsidRPr="00E72307" w:rsidRDefault="00F4504C" w:rsidP="006F52BA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</w:t>
            </w:r>
            <w:r w:rsidR="00E53E7D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-2</w:t>
            </w:r>
            <w:r w:rsidR="00E53E7D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305D11" w:rsidRPr="00E72307" w14:paraId="7CC894EB" w14:textId="77777777" w:rsidTr="000032F8">
        <w:trPr>
          <w:trHeight w:val="659"/>
        </w:trPr>
        <w:tc>
          <w:tcPr>
            <w:tcW w:w="9738" w:type="dxa"/>
            <w:gridSpan w:val="2"/>
            <w:tcBorders>
              <w:bottom w:val="single" w:sz="4" w:space="0" w:color="000000"/>
            </w:tcBorders>
            <w:vAlign w:val="center"/>
          </w:tcPr>
          <w:p w14:paraId="55A02C19" w14:textId="77777777" w:rsidR="00305D11" w:rsidRPr="00E72307" w:rsidRDefault="00305D11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Strong rural community strategic planning and implementation</w:t>
            </w:r>
          </w:p>
        </w:tc>
      </w:tr>
      <w:tr w:rsidR="00305D11" w:rsidRPr="00E72307" w14:paraId="48FA43F3" w14:textId="77777777" w:rsidTr="0090536B">
        <w:trPr>
          <w:trHeight w:val="443"/>
        </w:trPr>
        <w:tc>
          <w:tcPr>
            <w:tcW w:w="85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05F368" w14:textId="4AF3F655" w:rsidR="0063129F" w:rsidRPr="00FC4FC7" w:rsidRDefault="00FC4FC7" w:rsidP="00FC4FC7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FC4FC7">
              <w:rPr>
                <w:rFonts w:cs="Arial"/>
                <w:sz w:val="20"/>
                <w:szCs w:val="20"/>
              </w:rPr>
              <w:t>1.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C4FC7">
              <w:rPr>
                <w:rFonts w:cs="Arial"/>
                <w:sz w:val="20"/>
                <w:szCs w:val="20"/>
              </w:rPr>
              <w:t>N</w:t>
            </w:r>
            <w:r w:rsidR="00305D11" w:rsidRPr="00FC4FC7">
              <w:rPr>
                <w:rFonts w:cs="Arial"/>
                <w:sz w:val="20"/>
                <w:szCs w:val="20"/>
              </w:rPr>
              <w:t>umber</w:t>
            </w:r>
            <w:r w:rsidR="003E2596" w:rsidRPr="00FC4FC7">
              <w:rPr>
                <w:rFonts w:cs="Arial"/>
                <w:sz w:val="20"/>
                <w:szCs w:val="20"/>
              </w:rPr>
              <w:t xml:space="preserve"> of community</w:t>
            </w:r>
            <w:r w:rsidR="00D011D2" w:rsidRPr="00FC4FC7">
              <w:rPr>
                <w:rFonts w:cs="Arial"/>
                <w:sz w:val="20"/>
                <w:szCs w:val="20"/>
              </w:rPr>
              <w:t>-</w:t>
            </w:r>
            <w:r w:rsidR="003E2596" w:rsidRPr="00FC4FC7">
              <w:rPr>
                <w:rFonts w:cs="Arial"/>
                <w:sz w:val="20"/>
                <w:szCs w:val="20"/>
              </w:rPr>
              <w:t>based projects</w:t>
            </w:r>
            <w:r w:rsidR="00716BF1" w:rsidRPr="00FC4F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57B653" w14:textId="0FF348B3" w:rsidR="00305D11" w:rsidRPr="00E72307" w:rsidRDefault="000B3F9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D011D2" w:rsidRPr="00E72307" w14:paraId="50470208" w14:textId="77777777" w:rsidTr="0090536B">
        <w:trPr>
          <w:trHeight w:val="443"/>
        </w:trPr>
        <w:tc>
          <w:tcPr>
            <w:tcW w:w="85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0DAB27" w14:textId="1737F3A6" w:rsidR="00D011D2" w:rsidRPr="00E351D5" w:rsidRDefault="00D011D2" w:rsidP="00716BF1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351D5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716BF1">
              <w:rPr>
                <w:rFonts w:cs="Arial"/>
                <w:sz w:val="20"/>
                <w:szCs w:val="20"/>
              </w:rPr>
              <w:t xml:space="preserve">umber of local and </w:t>
            </w:r>
            <w:r w:rsidR="00F7423D">
              <w:rPr>
                <w:rFonts w:cs="Arial"/>
                <w:sz w:val="20"/>
                <w:szCs w:val="20"/>
              </w:rPr>
              <w:t>regionally based</w:t>
            </w:r>
            <w:r w:rsidR="00716BF1">
              <w:rPr>
                <w:rFonts w:cs="Arial"/>
                <w:sz w:val="20"/>
                <w:szCs w:val="20"/>
              </w:rPr>
              <w:t xml:space="preserve"> community strategic</w:t>
            </w:r>
            <w:r w:rsidR="00CE1F1B">
              <w:rPr>
                <w:rFonts w:cs="Arial"/>
                <w:sz w:val="20"/>
                <w:szCs w:val="20"/>
              </w:rPr>
              <w:t xml:space="preserve"> plans developed and/or updated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6BC3E5" w14:textId="0338A4FE" w:rsidR="00D011D2" w:rsidRPr="00E72307" w:rsidRDefault="000B3F90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</w:tr>
      <w:tr w:rsidR="003E2596" w:rsidRPr="00E72307" w14:paraId="6DBE85C1" w14:textId="77777777" w:rsidTr="0090536B">
        <w:trPr>
          <w:trHeight w:val="463"/>
        </w:trPr>
        <w:tc>
          <w:tcPr>
            <w:tcW w:w="8568" w:type="dxa"/>
            <w:tcBorders>
              <w:top w:val="single" w:sz="4" w:space="0" w:color="auto"/>
            </w:tcBorders>
            <w:vAlign w:val="center"/>
          </w:tcPr>
          <w:p w14:paraId="4F25BE94" w14:textId="77777777" w:rsidR="003E2596" w:rsidRPr="00E351D5" w:rsidRDefault="003E2596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ind w:left="270"/>
              <w:jc w:val="center"/>
              <w:rPr>
                <w:rFonts w:cs="Arial"/>
                <w:i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Rural access to business development services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D0D27" w14:textId="77777777" w:rsidR="003E2596" w:rsidRPr="00E72307" w:rsidRDefault="003E2596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E2596" w:rsidRPr="00E72307" w14:paraId="22939AE6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411E2F3B" w14:textId="7316F643" w:rsidR="003E2596" w:rsidRPr="00FE585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umber of business training session participants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6B67C" w14:textId="2F1E4CF6" w:rsidR="003E2596" w:rsidRPr="00E72307" w:rsidRDefault="000B3F9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</w:t>
            </w:r>
          </w:p>
        </w:tc>
      </w:tr>
      <w:tr w:rsidR="003E2596" w:rsidRPr="00E72307" w14:paraId="74F7E9F3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13AA39F5" w14:textId="364D510B" w:rsidR="003E2596" w:rsidRPr="00FE585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umber of business advisory services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E1BAA" w14:textId="72184D72" w:rsidR="003E2596" w:rsidRPr="00E72307" w:rsidRDefault="000B3F9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416</w:t>
            </w:r>
          </w:p>
        </w:tc>
      </w:tr>
      <w:tr w:rsidR="003E2596" w:rsidRPr="00E72307" w14:paraId="6CD15709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65D6FB06" w14:textId="77777777" w:rsidR="003E2596" w:rsidRPr="00E351D5" w:rsidRDefault="003E2596" w:rsidP="0056519D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ind w:left="270"/>
              <w:jc w:val="center"/>
              <w:rPr>
                <w:rFonts w:cs="Arial"/>
                <w:i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Rural access to capital and leveraged capital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68F6D1" w14:textId="77777777" w:rsidR="003E2596" w:rsidRPr="00E72307" w:rsidRDefault="003E2596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6567" w:rsidRPr="00E72307" w14:paraId="2DA4D307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3604ED6E" w14:textId="7BC497DE" w:rsidR="00BE6567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BE6567">
              <w:rPr>
                <w:rFonts w:cs="Arial"/>
                <w:sz w:val="20"/>
                <w:szCs w:val="20"/>
              </w:rPr>
              <w:t xml:space="preserve">.  </w:t>
            </w:r>
            <w:r w:rsidR="00FC4FC7">
              <w:rPr>
                <w:rFonts w:cs="Arial"/>
                <w:sz w:val="20"/>
                <w:szCs w:val="20"/>
              </w:rPr>
              <w:t>V</w:t>
            </w:r>
            <w:r w:rsidR="00BE6567">
              <w:rPr>
                <w:rFonts w:cs="Arial"/>
                <w:sz w:val="20"/>
                <w:szCs w:val="20"/>
              </w:rPr>
              <w:t>alue of loans</w:t>
            </w:r>
          </w:p>
        </w:tc>
        <w:tc>
          <w:tcPr>
            <w:tcW w:w="1170" w:type="dxa"/>
            <w:vAlign w:val="center"/>
          </w:tcPr>
          <w:p w14:paraId="761563DC" w14:textId="6A8D7FA7" w:rsidR="00BE6567" w:rsidRPr="00E72307" w:rsidRDefault="00FC4FC7" w:rsidP="00DE095B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$</w:t>
            </w:r>
            <w:r w:rsidR="000B3F90">
              <w:rPr>
                <w:rFonts w:cs="Arial"/>
                <w:b/>
                <w:sz w:val="20"/>
                <w:szCs w:val="20"/>
              </w:rPr>
              <w:t>2,955,967</w:t>
            </w:r>
          </w:p>
        </w:tc>
      </w:tr>
      <w:tr w:rsidR="004E0068" w:rsidRPr="00E72307" w14:paraId="57CD6B30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274080CC" w14:textId="482D1D60" w:rsidR="004E006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4E006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4E0068">
              <w:rPr>
                <w:rFonts w:cs="Arial"/>
                <w:sz w:val="20"/>
                <w:szCs w:val="20"/>
              </w:rPr>
              <w:t>umber</w:t>
            </w:r>
            <w:r w:rsidR="004E0068" w:rsidRPr="00E72307">
              <w:rPr>
                <w:rFonts w:cs="Arial"/>
                <w:sz w:val="20"/>
                <w:szCs w:val="20"/>
              </w:rPr>
              <w:t xml:space="preserve"> of loans  </w:t>
            </w:r>
          </w:p>
        </w:tc>
        <w:tc>
          <w:tcPr>
            <w:tcW w:w="1170" w:type="dxa"/>
            <w:vAlign w:val="center"/>
          </w:tcPr>
          <w:p w14:paraId="7099CFFF" w14:textId="79BECFB8" w:rsidR="004E0068" w:rsidRPr="00E72307" w:rsidRDefault="000B3F9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59</w:t>
            </w:r>
          </w:p>
        </w:tc>
      </w:tr>
      <w:tr w:rsidR="003E2596" w:rsidRPr="00E72307" w14:paraId="01B95258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7E95EC85" w14:textId="77777777" w:rsidR="003E2596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4E0068">
              <w:rPr>
                <w:rFonts w:cs="Arial"/>
                <w:sz w:val="20"/>
                <w:szCs w:val="20"/>
              </w:rPr>
              <w:t>. Number</w:t>
            </w:r>
            <w:r w:rsidR="004E0068" w:rsidRPr="00E72307">
              <w:rPr>
                <w:rFonts w:cs="Arial"/>
                <w:sz w:val="20"/>
                <w:szCs w:val="20"/>
              </w:rPr>
              <w:t xml:space="preserve"> of </w:t>
            </w:r>
            <w:r w:rsidR="004E0068">
              <w:rPr>
                <w:rFonts w:cs="Arial"/>
                <w:sz w:val="20"/>
                <w:szCs w:val="20"/>
              </w:rPr>
              <w:t>jobs created/maintained/expanded</w:t>
            </w:r>
            <w:r w:rsidR="00716BF1">
              <w:rPr>
                <w:rFonts w:cs="Arial"/>
                <w:sz w:val="20"/>
                <w:szCs w:val="20"/>
              </w:rPr>
              <w:t xml:space="preserve"> </w:t>
            </w:r>
            <w:r w:rsidR="004E0068">
              <w:rPr>
                <w:rFonts w:cs="Arial"/>
                <w:sz w:val="20"/>
                <w:szCs w:val="20"/>
              </w:rPr>
              <w:t>through lending</w:t>
            </w:r>
            <w:r w:rsidR="004E0068">
              <w:rPr>
                <w:rStyle w:val="FootnoteReferenc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1170" w:type="dxa"/>
            <w:vAlign w:val="center"/>
          </w:tcPr>
          <w:p w14:paraId="589FB395" w14:textId="731D9743" w:rsidR="003E2596" w:rsidRPr="00E72307" w:rsidRDefault="000B3F9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151</w:t>
            </w:r>
          </w:p>
        </w:tc>
      </w:tr>
    </w:tbl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F609C9" w14:paraId="1194961D" w14:textId="77777777" w:rsidTr="000032F8">
        <w:tc>
          <w:tcPr>
            <w:tcW w:w="9738" w:type="dxa"/>
          </w:tcPr>
          <w:p w14:paraId="656FEAEE" w14:textId="77A1495B" w:rsidR="000032F8" w:rsidRPr="00B86B60" w:rsidRDefault="000044DB" w:rsidP="000032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Community Futures Entrepreneur Fund</w:t>
            </w:r>
            <w:r w:rsidR="0085379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core service is to deliver accessible and responsible financing to marginalized entrepreneurs operating within the Comox Valley Regional District and Strathcona Regional District. Our focus is relationship-based lending for individuals and businesses unable to access partial or full conventional financing from a bank or credit union. Below are links to</w:t>
            </w:r>
            <w:r w:rsidR="0085379C">
              <w:rPr>
                <w:rFonts w:cs="Arial"/>
                <w:sz w:val="20"/>
                <w:szCs w:val="20"/>
              </w:rPr>
              <w:t xml:space="preserve"> a sample </w:t>
            </w:r>
            <w:r w:rsidR="00B2765F">
              <w:rPr>
                <w:rFonts w:cs="Arial"/>
                <w:sz w:val="20"/>
                <w:szCs w:val="20"/>
              </w:rPr>
              <w:t>of businesses</w:t>
            </w:r>
            <w:r>
              <w:rPr>
                <w:rFonts w:cs="Arial"/>
                <w:sz w:val="20"/>
                <w:szCs w:val="20"/>
              </w:rPr>
              <w:t xml:space="preserve"> that we worked with over the 2025-26 Fiscal Year. </w:t>
            </w:r>
            <w:r w:rsidR="000032F8">
              <w:rPr>
                <w:rFonts w:cs="Arial"/>
                <w:sz w:val="20"/>
                <w:szCs w:val="20"/>
              </w:rPr>
              <w:t xml:space="preserve"> </w:t>
            </w:r>
            <w:r w:rsidR="000032F8">
              <w:rPr>
                <w:rFonts w:cs="Arial"/>
                <w:sz w:val="20"/>
                <w:szCs w:val="20"/>
              </w:rPr>
              <w:br/>
            </w:r>
          </w:p>
        </w:tc>
      </w:tr>
      <w:tr w:rsidR="00F609C9" w14:paraId="79FC7B7E" w14:textId="77777777" w:rsidTr="000032F8">
        <w:tc>
          <w:tcPr>
            <w:tcW w:w="9738" w:type="dxa"/>
          </w:tcPr>
          <w:p w14:paraId="0C4F8E5C" w14:textId="7A1835DC" w:rsidR="00F609C9" w:rsidRDefault="000044DB" w:rsidP="00164DFE">
            <w:pPr>
              <w:spacing w:before="240"/>
              <w:rPr>
                <w:rFonts w:cs="Arial"/>
                <w:sz w:val="20"/>
                <w:szCs w:val="20"/>
              </w:rPr>
            </w:pPr>
            <w:hyperlink r:id="rId8" w:history="1">
              <w:r w:rsidRPr="00B70839">
                <w:rPr>
                  <w:rStyle w:val="Hyperlink"/>
                  <w:rFonts w:cs="Arial"/>
                  <w:sz w:val="20"/>
                  <w:szCs w:val="20"/>
                </w:rPr>
                <w:t>https://www.relishblinds.com/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6E53A7D" w14:textId="778651DF" w:rsidR="000044DB" w:rsidRDefault="00E96221" w:rsidP="00164DFE">
            <w:pPr>
              <w:spacing w:before="240"/>
              <w:rPr>
                <w:rFonts w:cs="Arial"/>
                <w:sz w:val="20"/>
                <w:szCs w:val="20"/>
              </w:rPr>
            </w:pPr>
            <w:hyperlink r:id="rId9" w:history="1">
              <w:r w:rsidRPr="00B70839">
                <w:rPr>
                  <w:rStyle w:val="Hyperlink"/>
                  <w:rFonts w:cs="Arial"/>
                  <w:sz w:val="20"/>
                  <w:szCs w:val="20"/>
                </w:rPr>
                <w:t>https://www.crabbybobs.ca/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C03A2A5" w14:textId="30EA3C87" w:rsidR="00E96221" w:rsidRDefault="00E96221" w:rsidP="00164DFE">
            <w:pPr>
              <w:spacing w:before="240"/>
              <w:rPr>
                <w:rFonts w:cs="Arial"/>
                <w:sz w:val="20"/>
                <w:szCs w:val="20"/>
              </w:rPr>
            </w:pPr>
            <w:hyperlink r:id="rId10" w:history="1">
              <w:r w:rsidRPr="00B70839">
                <w:rPr>
                  <w:rStyle w:val="Hyperlink"/>
                  <w:rFonts w:cs="Arial"/>
                  <w:sz w:val="20"/>
                  <w:szCs w:val="20"/>
                </w:rPr>
                <w:t>https://www.hornbyislandrvrentals.ca/</w:t>
              </w:r>
            </w:hyperlink>
          </w:p>
          <w:p w14:paraId="1A6E04CC" w14:textId="4130EBBF" w:rsidR="00E96221" w:rsidRDefault="00E96221" w:rsidP="00164DFE">
            <w:pPr>
              <w:spacing w:before="240"/>
              <w:rPr>
                <w:rFonts w:cs="Arial"/>
                <w:sz w:val="20"/>
                <w:szCs w:val="20"/>
              </w:rPr>
            </w:pPr>
            <w:hyperlink r:id="rId11" w:history="1">
              <w:r w:rsidRPr="00B70839">
                <w:rPr>
                  <w:rStyle w:val="Hyperlink"/>
                  <w:rFonts w:cs="Arial"/>
                  <w:sz w:val="20"/>
                  <w:szCs w:val="20"/>
                </w:rPr>
                <w:t>https://seaforest.ca/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48E165C" w14:textId="5BDBED2B" w:rsidR="00F609C9" w:rsidRDefault="00E96221" w:rsidP="00E96221">
            <w:pPr>
              <w:spacing w:before="240"/>
              <w:rPr>
                <w:rFonts w:cs="Arial"/>
                <w:sz w:val="20"/>
                <w:szCs w:val="20"/>
              </w:rPr>
            </w:pPr>
            <w:hyperlink r:id="rId12" w:history="1">
              <w:r w:rsidRPr="00B70839">
                <w:rPr>
                  <w:rStyle w:val="Hyperlink"/>
                  <w:rFonts w:cs="Arial"/>
                  <w:sz w:val="20"/>
                  <w:szCs w:val="20"/>
                </w:rPr>
                <w:t>https://straightedgemech.ca/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661A9A31" w14:textId="77777777" w:rsidR="00F105C2" w:rsidRPr="00E96221" w:rsidRDefault="00F105C2" w:rsidP="00E96221">
      <w:pPr>
        <w:spacing w:after="0" w:line="240" w:lineRule="auto"/>
        <w:rPr>
          <w:rFonts w:cs="Arial"/>
          <w:bCs/>
          <w:iCs/>
          <w:sz w:val="24"/>
          <w:szCs w:val="20"/>
        </w:rPr>
      </w:pPr>
    </w:p>
    <w:sectPr w:rsidR="00F105C2" w:rsidRPr="00E96221" w:rsidSect="00A65AAC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6F8C" w14:textId="77777777" w:rsidR="0030796C" w:rsidRDefault="0030796C" w:rsidP="00CC123A">
      <w:pPr>
        <w:spacing w:after="0" w:line="240" w:lineRule="auto"/>
      </w:pPr>
      <w:r>
        <w:separator/>
      </w:r>
    </w:p>
  </w:endnote>
  <w:endnote w:type="continuationSeparator" w:id="0">
    <w:p w14:paraId="5AAD8E59" w14:textId="77777777" w:rsidR="0030796C" w:rsidRDefault="0030796C" w:rsidP="00C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AB5A" w14:textId="77777777" w:rsidR="0030796C" w:rsidRDefault="0030796C" w:rsidP="00CC123A">
      <w:pPr>
        <w:spacing w:after="0" w:line="240" w:lineRule="auto"/>
      </w:pPr>
      <w:r>
        <w:separator/>
      </w:r>
    </w:p>
  </w:footnote>
  <w:footnote w:type="continuationSeparator" w:id="0">
    <w:p w14:paraId="44FC636C" w14:textId="77777777" w:rsidR="0030796C" w:rsidRDefault="0030796C" w:rsidP="00CC123A">
      <w:pPr>
        <w:spacing w:after="0" w:line="240" w:lineRule="auto"/>
      </w:pPr>
      <w:r>
        <w:continuationSeparator/>
      </w:r>
    </w:p>
  </w:footnote>
  <w:footnote w:id="1">
    <w:p w14:paraId="65946181" w14:textId="77777777" w:rsidR="004E0068" w:rsidRPr="004E0068" w:rsidRDefault="004E00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Estimated at the time of lending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A89E" w14:textId="3DF9D08E" w:rsidR="00903BAE" w:rsidRDefault="000B3F90" w:rsidP="00903BAE">
    <w:pPr>
      <w:keepNext/>
      <w:keepLines/>
      <w:tabs>
        <w:tab w:val="left" w:pos="6024"/>
        <w:tab w:val="left" w:pos="7159"/>
      </w:tabs>
      <w:autoSpaceDE w:val="0"/>
      <w:autoSpaceDN w:val="0"/>
      <w:adjustRightInd w:val="0"/>
      <w:jc w:val="center"/>
      <w:rPr>
        <w:rFonts w:cs="Arial"/>
        <w:b/>
        <w:sz w:val="20"/>
        <w:szCs w:val="20"/>
      </w:rPr>
    </w:pPr>
    <w:r w:rsidRPr="000B3F90">
      <w:rPr>
        <w:b/>
        <w:bCs/>
        <w:sz w:val="28"/>
        <w:szCs w:val="28"/>
        <w:u w:val="single"/>
      </w:rPr>
      <w:t>Community Futures Entrepreneur Fund</w:t>
    </w:r>
    <w:r w:rsidR="00FC4FC7" w:rsidRPr="000B3F90">
      <w:rPr>
        <w:sz w:val="28"/>
        <w:szCs w:val="28"/>
        <w:u w:val="single"/>
      </w:rPr>
      <w:t xml:space="preserve"> </w:t>
    </w:r>
    <w:r w:rsidR="00FC4FC7">
      <w:br/>
    </w:r>
    <w:r w:rsidR="002F0A60">
      <w:t xml:space="preserve">Performance Results for </w:t>
    </w:r>
    <w:r w:rsidR="005B647E">
      <w:t>202</w:t>
    </w:r>
    <w:r w:rsidR="00E53E7D">
      <w:t>5</w:t>
    </w:r>
    <w:r w:rsidR="005B647E">
      <w:t>-2</w:t>
    </w:r>
    <w:r w:rsidR="00E53E7D">
      <w:t>6</w:t>
    </w:r>
    <w:r w:rsidR="00A9055B">
      <w:t xml:space="preserve">   </w:t>
    </w:r>
  </w:p>
  <w:p w14:paraId="3B696F3E" w14:textId="5C795A97" w:rsidR="00A9055B" w:rsidRPr="00DE095B" w:rsidRDefault="00855202" w:rsidP="00855202">
    <w:pPr>
      <w:spacing w:line="240" w:lineRule="auto"/>
      <w:rPr>
        <w:sz w:val="18"/>
        <w:u w:val="single"/>
        <w:lang w:val="en-GB"/>
      </w:rPr>
    </w:pPr>
    <w:r w:rsidRPr="00855202">
      <w:rPr>
        <w:sz w:val="20"/>
        <w:lang w:val="en-GB"/>
      </w:rPr>
      <w:t xml:space="preserve">Community Futures (CF) is a </w:t>
    </w:r>
    <w:r w:rsidR="005B647E">
      <w:rPr>
        <w:sz w:val="20"/>
        <w:lang w:val="en-GB"/>
      </w:rPr>
      <w:t xml:space="preserve">national </w:t>
    </w:r>
    <w:r w:rsidR="00DE095B" w:rsidRPr="00855202">
      <w:rPr>
        <w:sz w:val="20"/>
        <w:lang w:val="en-GB"/>
      </w:rPr>
      <w:t xml:space="preserve">program </w:t>
    </w:r>
    <w:r w:rsidR="00DE095B">
      <w:rPr>
        <w:sz w:val="20"/>
        <w:lang w:val="en-GB"/>
      </w:rPr>
      <w:t>that</w:t>
    </w:r>
    <w:r w:rsidR="005B647E">
      <w:rPr>
        <w:sz w:val="20"/>
        <w:lang w:val="en-GB"/>
      </w:rPr>
      <w:t xml:space="preserve"> fosters entrepreneurship and</w:t>
    </w:r>
    <w:r w:rsidRPr="00855202">
      <w:rPr>
        <w:sz w:val="20"/>
        <w:lang w:val="en-GB"/>
      </w:rPr>
      <w:t xml:space="preserve"> community economic development </w:t>
    </w:r>
    <w:r w:rsidR="005B647E">
      <w:rPr>
        <w:sz w:val="20"/>
        <w:lang w:val="en-GB"/>
      </w:rPr>
      <w:t xml:space="preserve">in rural Canada. There are 34 CF offices in British Columbia, mandated to deliver a variety of services ranging from strategic economic planning, technical and advisory services to businesses, loans to small and medium-sized businesses, self-employment assistance programs, and services targeted to youth and </w:t>
    </w:r>
    <w:r w:rsidR="005930BF">
      <w:rPr>
        <w:sz w:val="20"/>
        <w:lang w:val="en-GB"/>
      </w:rPr>
      <w:t>entrepreneurs</w:t>
    </w:r>
    <w:r w:rsidR="005B647E">
      <w:rPr>
        <w:sz w:val="20"/>
        <w:lang w:val="en-GB"/>
      </w:rPr>
      <w:t xml:space="preserve"> with disabilities. CF offices are non-profit corporations run by salaried staff and guided by volunteer boards of directors</w:t>
    </w:r>
    <w:r w:rsidR="005930BF">
      <w:rPr>
        <w:sz w:val="20"/>
        <w:lang w:val="en-GB"/>
      </w:rPr>
      <w:t xml:space="preserve">. </w:t>
    </w:r>
    <w:r w:rsidRPr="00F7423D">
      <w:rPr>
        <w:sz w:val="20"/>
        <w:highlight w:val="green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86A"/>
    <w:multiLevelType w:val="hybridMultilevel"/>
    <w:tmpl w:val="7BA8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3A4"/>
    <w:multiLevelType w:val="hybridMultilevel"/>
    <w:tmpl w:val="73DE88F8"/>
    <w:lvl w:ilvl="0" w:tplc="7B40C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9E2"/>
    <w:multiLevelType w:val="hybridMultilevel"/>
    <w:tmpl w:val="1ED4F5FC"/>
    <w:lvl w:ilvl="0" w:tplc="55C613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33E36"/>
    <w:multiLevelType w:val="hybridMultilevel"/>
    <w:tmpl w:val="150A8936"/>
    <w:lvl w:ilvl="0" w:tplc="AEB6257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en-US"/>
      </w:rPr>
    </w:lvl>
    <w:lvl w:ilvl="1" w:tplc="435CACC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0631B"/>
    <w:multiLevelType w:val="hybridMultilevel"/>
    <w:tmpl w:val="A8FECB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43079C"/>
    <w:multiLevelType w:val="hybridMultilevel"/>
    <w:tmpl w:val="2072F844"/>
    <w:lvl w:ilvl="0" w:tplc="1009000F">
      <w:start w:val="1"/>
      <w:numFmt w:val="decimal"/>
      <w:lvlText w:val="%1."/>
      <w:lvlJc w:val="left"/>
      <w:pPr>
        <w:ind w:left="937" w:hanging="360"/>
      </w:pPr>
    </w:lvl>
    <w:lvl w:ilvl="1" w:tplc="10090019" w:tentative="1">
      <w:start w:val="1"/>
      <w:numFmt w:val="lowerLetter"/>
      <w:lvlText w:val="%2."/>
      <w:lvlJc w:val="left"/>
      <w:pPr>
        <w:ind w:left="1657" w:hanging="360"/>
      </w:pPr>
    </w:lvl>
    <w:lvl w:ilvl="2" w:tplc="1009001B" w:tentative="1">
      <w:start w:val="1"/>
      <w:numFmt w:val="lowerRoman"/>
      <w:lvlText w:val="%3."/>
      <w:lvlJc w:val="right"/>
      <w:pPr>
        <w:ind w:left="2377" w:hanging="180"/>
      </w:pPr>
    </w:lvl>
    <w:lvl w:ilvl="3" w:tplc="1009000F" w:tentative="1">
      <w:start w:val="1"/>
      <w:numFmt w:val="decimal"/>
      <w:lvlText w:val="%4."/>
      <w:lvlJc w:val="left"/>
      <w:pPr>
        <w:ind w:left="3097" w:hanging="360"/>
      </w:pPr>
    </w:lvl>
    <w:lvl w:ilvl="4" w:tplc="10090019" w:tentative="1">
      <w:start w:val="1"/>
      <w:numFmt w:val="lowerLetter"/>
      <w:lvlText w:val="%5."/>
      <w:lvlJc w:val="left"/>
      <w:pPr>
        <w:ind w:left="3817" w:hanging="360"/>
      </w:pPr>
    </w:lvl>
    <w:lvl w:ilvl="5" w:tplc="1009001B" w:tentative="1">
      <w:start w:val="1"/>
      <w:numFmt w:val="lowerRoman"/>
      <w:lvlText w:val="%6."/>
      <w:lvlJc w:val="right"/>
      <w:pPr>
        <w:ind w:left="4537" w:hanging="180"/>
      </w:pPr>
    </w:lvl>
    <w:lvl w:ilvl="6" w:tplc="1009000F" w:tentative="1">
      <w:start w:val="1"/>
      <w:numFmt w:val="decimal"/>
      <w:lvlText w:val="%7."/>
      <w:lvlJc w:val="left"/>
      <w:pPr>
        <w:ind w:left="5257" w:hanging="360"/>
      </w:pPr>
    </w:lvl>
    <w:lvl w:ilvl="7" w:tplc="10090019" w:tentative="1">
      <w:start w:val="1"/>
      <w:numFmt w:val="lowerLetter"/>
      <w:lvlText w:val="%8."/>
      <w:lvlJc w:val="left"/>
      <w:pPr>
        <w:ind w:left="5977" w:hanging="360"/>
      </w:pPr>
    </w:lvl>
    <w:lvl w:ilvl="8" w:tplc="10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" w15:restartNumberingAfterBreak="0">
    <w:nsid w:val="3D98274A"/>
    <w:multiLevelType w:val="hybridMultilevel"/>
    <w:tmpl w:val="ED3471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0219D"/>
    <w:multiLevelType w:val="hybridMultilevel"/>
    <w:tmpl w:val="640EE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203"/>
    <w:multiLevelType w:val="hybridMultilevel"/>
    <w:tmpl w:val="41C461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A38B4"/>
    <w:multiLevelType w:val="hybridMultilevel"/>
    <w:tmpl w:val="32428F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628D4"/>
    <w:multiLevelType w:val="hybridMultilevel"/>
    <w:tmpl w:val="793ECC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63406"/>
    <w:multiLevelType w:val="hybridMultilevel"/>
    <w:tmpl w:val="D07CB9B6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1044A"/>
    <w:multiLevelType w:val="hybridMultilevel"/>
    <w:tmpl w:val="995A9550"/>
    <w:lvl w:ilvl="0" w:tplc="BC4AE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7C9"/>
    <w:multiLevelType w:val="multilevel"/>
    <w:tmpl w:val="79C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27EC2"/>
    <w:multiLevelType w:val="hybridMultilevel"/>
    <w:tmpl w:val="9D5095DE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5568">
    <w:abstractNumId w:val="1"/>
  </w:num>
  <w:num w:numId="2" w16cid:durableId="1880701032">
    <w:abstractNumId w:val="12"/>
  </w:num>
  <w:num w:numId="3" w16cid:durableId="161939543">
    <w:abstractNumId w:val="3"/>
  </w:num>
  <w:num w:numId="4" w16cid:durableId="771438517">
    <w:abstractNumId w:val="4"/>
  </w:num>
  <w:num w:numId="5" w16cid:durableId="724913024">
    <w:abstractNumId w:val="11"/>
  </w:num>
  <w:num w:numId="6" w16cid:durableId="1747268389">
    <w:abstractNumId w:val="14"/>
  </w:num>
  <w:num w:numId="7" w16cid:durableId="1280844316">
    <w:abstractNumId w:val="8"/>
  </w:num>
  <w:num w:numId="8" w16cid:durableId="737634763">
    <w:abstractNumId w:val="6"/>
  </w:num>
  <w:num w:numId="9" w16cid:durableId="1280992610">
    <w:abstractNumId w:val="5"/>
  </w:num>
  <w:num w:numId="10" w16cid:durableId="9257713">
    <w:abstractNumId w:val="10"/>
  </w:num>
  <w:num w:numId="11" w16cid:durableId="1523124897">
    <w:abstractNumId w:val="2"/>
  </w:num>
  <w:num w:numId="12" w16cid:durableId="1532036202">
    <w:abstractNumId w:val="13"/>
  </w:num>
  <w:num w:numId="13" w16cid:durableId="1147085122">
    <w:abstractNumId w:val="7"/>
  </w:num>
  <w:num w:numId="14" w16cid:durableId="814877469">
    <w:abstractNumId w:val="9"/>
  </w:num>
  <w:num w:numId="15" w16cid:durableId="3613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A"/>
    <w:rsid w:val="000032F8"/>
    <w:rsid w:val="000044DB"/>
    <w:rsid w:val="00042B8D"/>
    <w:rsid w:val="000A68DF"/>
    <w:rsid w:val="000B0ABE"/>
    <w:rsid w:val="000B3F90"/>
    <w:rsid w:val="000E446D"/>
    <w:rsid w:val="000F1E3F"/>
    <w:rsid w:val="000F794C"/>
    <w:rsid w:val="001048DF"/>
    <w:rsid w:val="00124D7E"/>
    <w:rsid w:val="00136C60"/>
    <w:rsid w:val="00164DFE"/>
    <w:rsid w:val="00183FEA"/>
    <w:rsid w:val="001A0388"/>
    <w:rsid w:val="001A55FE"/>
    <w:rsid w:val="001A5D7A"/>
    <w:rsid w:val="001D41CE"/>
    <w:rsid w:val="001F63A6"/>
    <w:rsid w:val="0020118B"/>
    <w:rsid w:val="00204964"/>
    <w:rsid w:val="0022039D"/>
    <w:rsid w:val="00227349"/>
    <w:rsid w:val="002733B9"/>
    <w:rsid w:val="002B1845"/>
    <w:rsid w:val="002C6728"/>
    <w:rsid w:val="002F0A60"/>
    <w:rsid w:val="00305D11"/>
    <w:rsid w:val="0030796C"/>
    <w:rsid w:val="00326C17"/>
    <w:rsid w:val="00352DD5"/>
    <w:rsid w:val="00354058"/>
    <w:rsid w:val="00370843"/>
    <w:rsid w:val="00387C16"/>
    <w:rsid w:val="003B364D"/>
    <w:rsid w:val="003D46F2"/>
    <w:rsid w:val="003D6046"/>
    <w:rsid w:val="003E2596"/>
    <w:rsid w:val="00416424"/>
    <w:rsid w:val="00435FD8"/>
    <w:rsid w:val="0044224D"/>
    <w:rsid w:val="004707C8"/>
    <w:rsid w:val="00476214"/>
    <w:rsid w:val="004E0068"/>
    <w:rsid w:val="00507666"/>
    <w:rsid w:val="00524D65"/>
    <w:rsid w:val="0053249B"/>
    <w:rsid w:val="00535C65"/>
    <w:rsid w:val="0055116A"/>
    <w:rsid w:val="0056519D"/>
    <w:rsid w:val="005930BF"/>
    <w:rsid w:val="005B647E"/>
    <w:rsid w:val="005C2129"/>
    <w:rsid w:val="005C3625"/>
    <w:rsid w:val="0061366E"/>
    <w:rsid w:val="00614CA8"/>
    <w:rsid w:val="0063129F"/>
    <w:rsid w:val="00637BD2"/>
    <w:rsid w:val="00663C75"/>
    <w:rsid w:val="006C2CCB"/>
    <w:rsid w:val="006C565E"/>
    <w:rsid w:val="006C618A"/>
    <w:rsid w:val="006F52BA"/>
    <w:rsid w:val="006F5326"/>
    <w:rsid w:val="00716865"/>
    <w:rsid w:val="00716BF1"/>
    <w:rsid w:val="00721398"/>
    <w:rsid w:val="00741AB5"/>
    <w:rsid w:val="0074505F"/>
    <w:rsid w:val="007539B6"/>
    <w:rsid w:val="00790628"/>
    <w:rsid w:val="008070B2"/>
    <w:rsid w:val="00852F85"/>
    <w:rsid w:val="0085379C"/>
    <w:rsid w:val="00855202"/>
    <w:rsid w:val="00876631"/>
    <w:rsid w:val="00876ADF"/>
    <w:rsid w:val="008835BB"/>
    <w:rsid w:val="008B0CCB"/>
    <w:rsid w:val="008F7F84"/>
    <w:rsid w:val="00903BAE"/>
    <w:rsid w:val="0090536B"/>
    <w:rsid w:val="009212B6"/>
    <w:rsid w:val="00961274"/>
    <w:rsid w:val="00971204"/>
    <w:rsid w:val="009A7DFF"/>
    <w:rsid w:val="009F415F"/>
    <w:rsid w:val="00A57ABB"/>
    <w:rsid w:val="00A65AAC"/>
    <w:rsid w:val="00A9055B"/>
    <w:rsid w:val="00AD3AAD"/>
    <w:rsid w:val="00B069C6"/>
    <w:rsid w:val="00B2765F"/>
    <w:rsid w:val="00B3074E"/>
    <w:rsid w:val="00B65BB9"/>
    <w:rsid w:val="00B86B60"/>
    <w:rsid w:val="00B91766"/>
    <w:rsid w:val="00BB1612"/>
    <w:rsid w:val="00BD0981"/>
    <w:rsid w:val="00BE6567"/>
    <w:rsid w:val="00C06A6C"/>
    <w:rsid w:val="00C20382"/>
    <w:rsid w:val="00C23C23"/>
    <w:rsid w:val="00C3050A"/>
    <w:rsid w:val="00C7787C"/>
    <w:rsid w:val="00C85229"/>
    <w:rsid w:val="00CC123A"/>
    <w:rsid w:val="00CE1F1B"/>
    <w:rsid w:val="00D011D2"/>
    <w:rsid w:val="00D01222"/>
    <w:rsid w:val="00D262DF"/>
    <w:rsid w:val="00D27BC2"/>
    <w:rsid w:val="00D67217"/>
    <w:rsid w:val="00D97949"/>
    <w:rsid w:val="00DE095B"/>
    <w:rsid w:val="00E347D4"/>
    <w:rsid w:val="00E351D5"/>
    <w:rsid w:val="00E361E6"/>
    <w:rsid w:val="00E514E4"/>
    <w:rsid w:val="00E53E7D"/>
    <w:rsid w:val="00E72307"/>
    <w:rsid w:val="00E81EA2"/>
    <w:rsid w:val="00E9578A"/>
    <w:rsid w:val="00E96221"/>
    <w:rsid w:val="00EB684E"/>
    <w:rsid w:val="00EC74F0"/>
    <w:rsid w:val="00ED786E"/>
    <w:rsid w:val="00F019C9"/>
    <w:rsid w:val="00F105C2"/>
    <w:rsid w:val="00F40352"/>
    <w:rsid w:val="00F4504C"/>
    <w:rsid w:val="00F464A9"/>
    <w:rsid w:val="00F609C9"/>
    <w:rsid w:val="00F7423D"/>
    <w:rsid w:val="00FA471E"/>
    <w:rsid w:val="00FC4FC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A5987"/>
  <w15:docId w15:val="{54ABAEC8-1A74-4509-B4A0-670D910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3A"/>
  </w:style>
  <w:style w:type="paragraph" w:styleId="Footer">
    <w:name w:val="footer"/>
    <w:basedOn w:val="Normal"/>
    <w:link w:val="FooterChar"/>
    <w:uiPriority w:val="99"/>
    <w:unhideWhenUsed/>
    <w:rsid w:val="00CC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3A"/>
  </w:style>
  <w:style w:type="paragraph" w:styleId="ListParagraph">
    <w:name w:val="List Paragraph"/>
    <w:basedOn w:val="Normal"/>
    <w:uiPriority w:val="34"/>
    <w:qFormat/>
    <w:rsid w:val="008F7F84"/>
    <w:pPr>
      <w:ind w:left="720"/>
      <w:contextualSpacing/>
    </w:pPr>
  </w:style>
  <w:style w:type="paragraph" w:customStyle="1" w:styleId="Default">
    <w:name w:val="Default"/>
    <w:rsid w:val="008F7F8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6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55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5202"/>
    <w:rPr>
      <w:rFonts w:ascii="Arial" w:eastAsia="Times New Roman" w:hAnsi="Arial" w:cs="Arial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5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2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8D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0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068"/>
    <w:rPr>
      <w:vertAlign w:val="superscript"/>
    </w:rPr>
  </w:style>
  <w:style w:type="paragraph" w:styleId="Revision">
    <w:name w:val="Revision"/>
    <w:hidden/>
    <w:uiPriority w:val="99"/>
    <w:semiHidden/>
    <w:rsid w:val="005B64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746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shblinds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aightedgemech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forest.c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ornbyislandrvrentals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abbybobs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859A-74D5-4FDC-83F0-141021F0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Economic Diversification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Cahoon</dc:creator>
  <cp:keywords/>
  <dc:description/>
  <cp:lastModifiedBy>Kevin John</cp:lastModifiedBy>
  <cp:revision>5</cp:revision>
  <dcterms:created xsi:type="dcterms:W3CDTF">2026-04-22T17:52:00Z</dcterms:created>
  <dcterms:modified xsi:type="dcterms:W3CDTF">2026-04-29T14:58:00Z</dcterms:modified>
</cp:coreProperties>
</file>